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60"/>
        <w:jc w:val="center"/>
      </w:pPr>
      <w:r>
        <w:rPr>
          <w:rFonts w:ascii="Arial Unicode MS" w:hAnsi="Arial Unicode MS" w:eastAsia="Arial Unicode MS" w:cs="Arial Unicode MS"/>
          <w:b/>
          <w:color w:val="202321"/>
          <w:sz w:val="48"/>
        </w:rPr>
        <w:t>政府采购文件合规性审查报告</w:t>
      </w:r>
    </w:p>
    <w:p>
      <w:pPr>
        <w:spacing w:after="120"/>
        <w:jc w:val="center"/>
      </w:pPr>
      <w:r>
        <w:rPr>
          <w:rFonts w:ascii="Arial Unicode MS" w:hAnsi="Arial Unicode MS" w:eastAsia="Arial Unicode MS" w:cs="Arial Unicode MS"/>
          <w:color w:val="686B67"/>
          <w:sz w:val="22"/>
        </w:rPr>
        <w:t>知鉴AI输出格式示例</w:t>
      </w:r>
    </w:p>
    <w:p>
      <w:pPr>
        <w:pStyle w:val="SampleNote"/>
        <w:keepNext/>
        <w:jc w:val="center"/>
      </w:pPr>
      <w:r>
        <w:rPr>
          <w:rFonts w:ascii="Arial Unicode MS" w:hAnsi="Arial Unicode MS" w:eastAsia="Arial Unicode MS" w:cs="Arial Unicode MS"/>
          <w:color w:val="7F211B"/>
          <w:sz w:val="20"/>
        </w:rPr>
        <w:t>说明：本文件中的项目名称、条款和审查结论均为虚构示例，不构成正式审查意见。</w:t>
      </w:r>
    </w:p>
    <w:p>
      <w:pPr>
        <w:pStyle w:val="Heading1"/>
      </w:pPr>
      <w:r>
        <w:t>一、审查信息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7560"/>
      </w:tblGrid>
      <w:tr>
        <w:trPr>
          <w:cantSplit/>
          <w:tblHeader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招标文件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某市政务服务中心信息化设备采购项目招标文件.pdf</w:t>
            </w:r>
          </w:p>
        </w:tc>
      </w:tr>
      <w:tr>
        <w:trPr>
          <w:cantSplit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文件页数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62 页</w:t>
            </w:r>
          </w:p>
        </w:tc>
      </w:tr>
      <w:tr>
        <w:trPr>
          <w:cantSplit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审查状态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已完成人工确认</w:t>
            </w:r>
          </w:p>
        </w:tc>
      </w:tr>
      <w:tr>
        <w:trPr>
          <w:cantSplit/>
        </w:trPr>
        <w:tc>
          <w:tcPr>
            <w:tcW w:type="dxa" w:w="1800"/>
            <w:shd w:fill="F2F4F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21"/>
              </w:rPr>
              <w:t>生成时间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2026-07-18 10:00</w:t>
            </w:r>
          </w:p>
        </w:tc>
      </w:tr>
    </w:tbl>
    <w:p>
      <w:pPr>
        <w:pStyle w:val="Heading1"/>
      </w:pPr>
      <w:r>
        <w:t>二、审查结论</w:t>
      </w:r>
    </w:p>
    <w:p>
      <w:r>
        <w:rPr>
          <w:rFonts w:ascii="Arial Unicode MS" w:hAnsi="Arial Unicode MS" w:eastAsia="Arial Unicode MS" w:cs="Arial Unicode MS"/>
          <w:color w:val="202321"/>
          <w:sz w:val="22"/>
        </w:rPr>
        <w:t>本报告列入问题清单 3 项，其中高风险 1 项、中风险 1 项、需要注意 1 项。3 项问题均已进入人工复核流程；示例中不含被驳回的误报或不适用事项。</w:t>
      </w:r>
    </w:p>
    <w:p>
      <w:pPr>
        <w:pStyle w:val="Heading1"/>
      </w:pPr>
      <w:r>
        <w:t>三、风险分级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7560"/>
      </w:tblGrid>
      <w:tr>
        <w:trPr>
          <w:cantSplit/>
          <w:tblHeader/>
        </w:trPr>
        <w:tc>
          <w:tcPr>
            <w:tcW w:type="dxa" w:w="18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A92F26"/>
                <w:sz w:val="21"/>
              </w:rPr>
              <w:t>高风险（1 项）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明确违规或极可能导致投诉、整改，应优先处理。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7560"/>
      </w:tblGrid>
      <w:tr>
        <w:trPr>
          <w:cantSplit/>
          <w:tblHeader/>
        </w:trPr>
        <w:tc>
          <w:tcPr>
            <w:tcW w:type="dxa" w:w="1800"/>
            <w:shd w:fill="EEE6D7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94723A"/>
                <w:sz w:val="21"/>
              </w:rPr>
              <w:t>中风险（1 项）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条款不清晰、不完整或不一致，发布前应修改或补充。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7560"/>
      </w:tblGrid>
      <w:tr>
        <w:trPr>
          <w:cantSplit/>
          <w:tblHeader/>
        </w:trPr>
        <w:tc>
          <w:tcPr>
            <w:tcW w:type="dxa" w:w="1800"/>
            <w:shd w:fill="E1EAED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3F6378"/>
                <w:sz w:val="21"/>
              </w:rPr>
              <w:t>需要注意（1 项）</w:t>
            </w:r>
          </w:p>
        </w:tc>
        <w:tc>
          <w:tcPr>
            <w:tcW w:type="dxa" w:w="75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21"/>
              </w:rPr>
              <w:t>需要结合项目材料和专业判断进一步核实。</w:t>
            </w:r>
          </w:p>
        </w:tc>
      </w:tr>
    </w:tbl>
    <w:p>
      <w:pPr>
        <w:spacing w:after="40"/>
      </w:pPr>
    </w:p>
    <w:p>
      <w:pPr>
        <w:pStyle w:val="Heading1"/>
      </w:pPr>
      <w:r>
        <w:t>四、问题汇总表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00"/>
        <w:gridCol w:w="1080"/>
        <w:gridCol w:w="1400"/>
        <w:gridCol w:w="3200"/>
        <w:gridCol w:w="3080"/>
      </w:tblGrid>
      <w:tr>
        <w:trPr>
          <w:cantSplit/>
          <w:tblHeader/>
        </w:trPr>
        <w:tc>
          <w:tcPr>
            <w:tcW w:type="dxa" w:w="6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序号</w:t>
            </w:r>
          </w:p>
        </w:tc>
        <w:tc>
          <w:tcPr>
            <w:tcW w:type="dxa" w:w="108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风险等级</w:t>
            </w:r>
          </w:p>
        </w:tc>
        <w:tc>
          <w:tcPr>
            <w:tcW w:type="dxa" w:w="14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问题类型</w:t>
            </w:r>
          </w:p>
        </w:tc>
        <w:tc>
          <w:tcPr>
            <w:tcW w:type="dxa" w:w="320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问题标题</w:t>
            </w:r>
          </w:p>
        </w:tc>
        <w:tc>
          <w:tcPr>
            <w:tcW w:type="dxa" w:w="3080"/>
            <w:shd w:fill="F4E2DF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7F211B"/>
                <w:sz w:val="19"/>
              </w:rPr>
              <w:t>处理状态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1</w:t>
            </w:r>
          </w:p>
        </w:tc>
        <w:tc>
          <w:tcPr>
            <w:tcW w:type="dxa" w:w="1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A92F26"/>
                <w:sz w:val="19"/>
              </w:rPr>
              <w:t>高风险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资格条件</w:t>
            </w:r>
          </w:p>
        </w:tc>
        <w:tc>
          <w:tcPr>
            <w:tcW w:type="dxa" w:w="32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资格条件可能构成差别待遇</w:t>
            </w:r>
          </w:p>
        </w:tc>
        <w:tc>
          <w:tcPr>
            <w:tcW w:type="dxa" w:w="3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确认问题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2</w:t>
            </w:r>
          </w:p>
        </w:tc>
        <w:tc>
          <w:tcPr>
            <w:tcW w:type="dxa" w:w="1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19"/>
              </w:rPr>
              <w:t>中风险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评分标准</w:t>
            </w:r>
          </w:p>
        </w:tc>
        <w:tc>
          <w:tcPr>
            <w:tcW w:type="dxa" w:w="32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评审因素量化指标不明确</w:t>
            </w:r>
          </w:p>
        </w:tc>
        <w:tc>
          <w:tcPr>
            <w:tcW w:type="dxa" w:w="3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已修改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3</w:t>
            </w:r>
          </w:p>
        </w:tc>
        <w:tc>
          <w:tcPr>
            <w:tcW w:type="dxa" w:w="1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202321"/>
                <w:sz w:val="19"/>
              </w:rPr>
              <w:t>需要注意</w:t>
            </w:r>
          </w:p>
        </w:tc>
        <w:tc>
          <w:tcPr>
            <w:tcW w:type="dxa" w:w="14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验收要求</w:t>
            </w:r>
          </w:p>
        </w:tc>
        <w:tc>
          <w:tcPr>
            <w:tcW w:type="dxa" w:w="32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验收标准缺少明确时限</w:t>
            </w:r>
          </w:p>
        </w:tc>
        <w:tc>
          <w:tcPr>
            <w:tcW w:type="dxa" w:w="308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202321"/>
                <w:sz w:val="19"/>
              </w:rPr>
              <w:t>存疑待核实</w:t>
            </w:r>
          </w:p>
        </w:tc>
      </w:tr>
    </w:tbl>
    <w:p>
      <w:pPr>
        <w:pStyle w:val="Heading1"/>
      </w:pPr>
      <w:r>
        <w:t>五、问题明细</w:t>
      </w:r>
    </w:p>
    <w:p>
      <w:pPr>
        <w:pStyle w:val="Heading2"/>
        <w:keepNext/>
      </w:pPr>
      <w:r>
        <w:rPr>
          <w:rFonts w:ascii="Noto Sans CJK SC" w:hAnsi="Noto Sans CJK SC" w:eastAsia="Noto Sans CJK SC" w:cs="Noto Sans CJK SC"/>
          <w:b/>
          <w:color w:val="A92F26"/>
          <w:sz w:val="26"/>
        </w:rPr>
        <w:t>1. 【高风险】资格条件可能构成差别待遇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问题类型：</w:t>
      </w:r>
      <w:r>
        <w:rPr>
          <w:rFonts w:ascii="Arial Unicode MS" w:hAnsi="Arial Unicode MS" w:eastAsia="Arial Unicode MS" w:cs="Arial Unicode MS"/>
          <w:color w:val="202321"/>
          <w:sz w:val="21"/>
        </w:rPr>
        <w:t>资格条件（编号：QUAL-SAMPLE-01）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问题描述：</w:t>
      </w:r>
      <w:r>
        <w:rPr>
          <w:rFonts w:ascii="Arial Unicode MS" w:hAnsi="Arial Unicode MS" w:eastAsia="Arial Unicode MS" w:cs="Arial Unicode MS"/>
          <w:color w:val="202321"/>
          <w:sz w:val="21"/>
        </w:rPr>
        <w:t>资格条款将特定地区业绩作为准入条件，可能对非本地区供应商形成不合理限制。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原文位置：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采购文件第 18 页 · 第一章 资格要求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证据摘录：</w:t>
      </w:r>
      <w:r>
        <w:rPr>
          <w:rFonts w:ascii="Arial Unicode MS" w:hAnsi="Arial Unicode MS" w:eastAsia="Arial Unicode MS" w:cs="Arial Unicode MS"/>
          <w:color w:val="202321"/>
          <w:sz w:val="21"/>
        </w:rPr>
        <w:t>“供应商须提供近三年在本地区完成的同类项目业绩。”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法规依据：</w:t>
      </w:r>
      <w:r>
        <w:rPr>
          <w:rFonts w:ascii="Arial Unicode MS" w:hAnsi="Arial Unicode MS" w:eastAsia="Arial Unicode MS" w:cs="Arial Unicode MS"/>
          <w:color w:val="202321"/>
          <w:sz w:val="21"/>
        </w:rPr>
        <w:t>政府采购活动应当公平对待各类供应商，不得设置不合理的地域限制（示例说明）。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修改建议：</w:t>
      </w:r>
      <w:r>
        <w:rPr>
          <w:rFonts w:ascii="Arial Unicode MS" w:hAnsi="Arial Unicode MS" w:eastAsia="Arial Unicode MS" w:cs="Arial Unicode MS"/>
          <w:color w:val="202321"/>
          <w:sz w:val="21"/>
        </w:rPr>
        <w:t>删除“本地区”限定，改为与采购项目规模、复杂程度相适应的同类项目履约经验要求。</w:t>
      </w:r>
    </w:p>
    <w:p>
      <w:pPr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人工处理：</w:t>
      </w:r>
      <w:r>
        <w:rPr>
          <w:rFonts w:ascii="Arial Unicode MS" w:hAnsi="Arial Unicode MS" w:eastAsia="Arial Unicode MS" w:cs="Arial Unicode MS"/>
          <w:color w:val="202321"/>
          <w:sz w:val="21"/>
        </w:rPr>
        <w:t>确认问题</w:t>
      </w:r>
    </w:p>
    <w:p>
      <w:pPr>
        <w:pStyle w:val="Heading2"/>
        <w:keepNext/>
      </w:pPr>
      <w:r>
        <w:rPr>
          <w:rFonts w:ascii="Noto Sans CJK SC" w:hAnsi="Noto Sans CJK SC" w:eastAsia="Noto Sans CJK SC" w:cs="Noto Sans CJK SC"/>
          <w:b/>
          <w:color w:val="94723A"/>
          <w:sz w:val="26"/>
        </w:rPr>
        <w:t>2. 【中风险】评审因素量化指标不明确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问题类型：</w:t>
      </w:r>
      <w:r>
        <w:rPr>
          <w:rFonts w:ascii="Arial Unicode MS" w:hAnsi="Arial Unicode MS" w:eastAsia="Arial Unicode MS" w:cs="Arial Unicode MS"/>
          <w:color w:val="202321"/>
          <w:sz w:val="21"/>
        </w:rPr>
        <w:t>评分标准（编号：SCORE-SAMPLE-02）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问题描述：</w:t>
      </w:r>
      <w:r>
        <w:rPr>
          <w:rFonts w:ascii="Arial Unicode MS" w:hAnsi="Arial Unicode MS" w:eastAsia="Arial Unicode MS" w:cs="Arial Unicode MS"/>
          <w:color w:val="202321"/>
          <w:sz w:val="21"/>
        </w:rPr>
        <w:t>技术方案评分仅列出优、良、一般，未说明不同档次的客观判定条件，可能导致评审尺度不一致。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原文位置：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采购文件第 42 页 · 第四章 评分标准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证据摘录：</w:t>
      </w:r>
      <w:r>
        <w:rPr>
          <w:rFonts w:ascii="Arial Unicode MS" w:hAnsi="Arial Unicode MS" w:eastAsia="Arial Unicode MS" w:cs="Arial Unicode MS"/>
          <w:color w:val="202321"/>
          <w:sz w:val="21"/>
        </w:rPr>
        <w:t>“技术方案优秀得 10 分，良好得 7 分，一般得 4 分。”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法规依据：</w:t>
      </w:r>
      <w:r>
        <w:rPr>
          <w:rFonts w:ascii="Arial Unicode MS" w:hAnsi="Arial Unicode MS" w:eastAsia="Arial Unicode MS" w:cs="Arial Unicode MS"/>
          <w:color w:val="202321"/>
          <w:sz w:val="21"/>
        </w:rPr>
        <w:t>评审因素应当细化、量化，并与相应的商务条件和采购需求对应（示例说明）。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修改建议：</w:t>
      </w:r>
      <w:r>
        <w:rPr>
          <w:rFonts w:ascii="Arial Unicode MS" w:hAnsi="Arial Unicode MS" w:eastAsia="Arial Unicode MS" w:cs="Arial Unicode MS"/>
          <w:color w:val="202321"/>
          <w:sz w:val="21"/>
        </w:rPr>
        <w:t>补充分档条件、扣分点和可核验材料，使评委能够依据同一标准评分。</w:t>
      </w:r>
    </w:p>
    <w:p>
      <w:pPr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人工处理：</w:t>
      </w:r>
      <w:r>
        <w:rPr>
          <w:rFonts w:ascii="Arial Unicode MS" w:hAnsi="Arial Unicode MS" w:eastAsia="Arial Unicode MS" w:cs="Arial Unicode MS"/>
          <w:color w:val="202321"/>
          <w:sz w:val="21"/>
        </w:rPr>
        <w:t>已修改</w:t>
      </w:r>
    </w:p>
    <w:p>
      <w:pPr>
        <w:pStyle w:val="Heading2"/>
        <w:keepNext/>
      </w:pPr>
      <w:r>
        <w:rPr>
          <w:rFonts w:ascii="Noto Sans CJK SC" w:hAnsi="Noto Sans CJK SC" w:eastAsia="Noto Sans CJK SC" w:cs="Noto Sans CJK SC"/>
          <w:b/>
          <w:color w:val="3F6378"/>
          <w:sz w:val="26"/>
        </w:rPr>
        <w:t>3. 【需要注意】验收标准缺少明确时限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问题类型：</w:t>
      </w:r>
      <w:r>
        <w:rPr>
          <w:rFonts w:ascii="Arial Unicode MS" w:hAnsi="Arial Unicode MS" w:eastAsia="Arial Unicode MS" w:cs="Arial Unicode MS"/>
          <w:color w:val="202321"/>
          <w:sz w:val="21"/>
        </w:rPr>
        <w:t>验收要求（编号：ACCEPT-SAMPLE-03）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问题描述：</w:t>
      </w:r>
      <w:r>
        <w:rPr>
          <w:rFonts w:ascii="Arial Unicode MS" w:hAnsi="Arial Unicode MS" w:eastAsia="Arial Unicode MS" w:cs="Arial Unicode MS"/>
          <w:color w:val="202321"/>
          <w:sz w:val="21"/>
        </w:rPr>
        <w:t>验收条款未约定到货验收、试运行和最终验收的具体时间节点，履约管理责任边界不清。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原文位置：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采购文件第 56 页 · 第六章 合同主要条款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证据摘录：</w:t>
      </w:r>
      <w:r>
        <w:rPr>
          <w:rFonts w:ascii="Arial Unicode MS" w:hAnsi="Arial Unicode MS" w:eastAsia="Arial Unicode MS" w:cs="Arial Unicode MS"/>
          <w:color w:val="202321"/>
          <w:sz w:val="21"/>
        </w:rPr>
        <w:t>“项目完成后，由采购人组织验收。”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法规依据：</w:t>
      </w:r>
      <w:r>
        <w:rPr>
          <w:rFonts w:ascii="Arial Unicode MS" w:hAnsi="Arial Unicode MS" w:eastAsia="Arial Unicode MS" w:cs="Arial Unicode MS"/>
          <w:color w:val="202321"/>
          <w:sz w:val="21"/>
        </w:rPr>
        <w:t>采购合同应明确履约验收的主体、时间、方式、程序和标准（示例说明）。</w:t>
      </w:r>
    </w:p>
    <w:p>
      <w:pPr>
        <w:keepNext/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修改建议：</w:t>
      </w:r>
      <w:r>
        <w:rPr>
          <w:rFonts w:ascii="Arial Unicode MS" w:hAnsi="Arial Unicode MS" w:eastAsia="Arial Unicode MS" w:cs="Arial Unicode MS"/>
          <w:color w:val="202321"/>
          <w:sz w:val="21"/>
        </w:rPr>
        <w:t>补充到货验收、试运行、最终验收的时限及逾期处理方式。</w:t>
      </w:r>
    </w:p>
    <w:p>
      <w:pPr>
        <w:spacing w:after="100"/>
        <w:ind w:left="173"/>
      </w:pPr>
      <w:r>
        <w:rPr>
          <w:rFonts w:ascii="Arial Unicode MS" w:hAnsi="Arial Unicode MS" w:eastAsia="Arial Unicode MS" w:cs="Arial Unicode MS"/>
          <w:b/>
          <w:color w:val="202321"/>
          <w:sz w:val="21"/>
        </w:rPr>
        <w:t>人工处理：</w:t>
      </w:r>
      <w:r>
        <w:rPr>
          <w:rFonts w:ascii="Arial Unicode MS" w:hAnsi="Arial Unicode MS" w:eastAsia="Arial Unicode MS" w:cs="Arial Unicode MS"/>
          <w:color w:val="202321"/>
          <w:sz w:val="21"/>
        </w:rPr>
        <w:t>存疑待核实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 Unicode MS" w:hAnsi="Arial Unicode MS" w:eastAsia="Arial Unicode MS" w:cs="Arial Unicode MS"/>
      <w:color w:val="20232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7F21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7F21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3F63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 Unicode MS" w:hAnsi="Arial Unicode MS" w:eastAsia="Arial Unicode MS" w:cs="Arial Unicode MS"/>
      <w:color w:val="20232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ampleNote">
    <w:name w:val="Sample Note"/>
    <w:basedOn w:val="Normal"/>
    <w:pPr>
      <w:spacing w:before="100" w:after="160" w:line="264" w:lineRule="auto"/>
    </w:pPr>
    <w:rPr>
      <w:rFonts w:ascii="Arial Unicode MS" w:hAnsi="Arial Unicode MS" w:eastAsia="Arial Unicode MS" w:cs="Arial Unicode MS"/>
      <w:color w:val="686B67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审查报告示例</dc:title>
  <dc:subject>知鉴AI官网示例下载</dc:subject>
  <dc:creator>知鉴AI</dc:creator>
  <cp:keywords>政府采购,问题清单,审查报告,示例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